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E49B6B" w14:textId="77777777" w:rsidR="00631175" w:rsidRDefault="00631175">
      <w:pPr>
        <w:spacing w:line="100" w:lineRule="exact"/>
        <w:jc w:val="center"/>
        <w:outlineLvl w:val="0"/>
        <w:rPr>
          <w:rFonts w:ascii="宋体" w:hAnsi="宋体"/>
          <w:color w:val="000000"/>
          <w:sz w:val="36"/>
          <w:szCs w:val="36"/>
        </w:rPr>
      </w:pPr>
      <w:bookmarkStart w:id="0" w:name="_Toc530473016"/>
    </w:p>
    <w:bookmarkEnd w:id="0"/>
    <w:p w14:paraId="06498CE4" w14:textId="7569EC77" w:rsidR="0061741A" w:rsidRPr="0061741A" w:rsidRDefault="003733C0" w:rsidP="0061741A">
      <w:pPr>
        <w:widowControl/>
        <w:shd w:val="clear" w:color="auto" w:fill="FFFFFF"/>
        <w:spacing w:line="750" w:lineRule="atLeast"/>
        <w:jc w:val="center"/>
        <w:outlineLvl w:val="0"/>
        <w:rPr>
          <w:rFonts w:ascii="宋体" w:hAnsi="宋体" w:cs="宋体"/>
          <w:b/>
          <w:bCs/>
          <w:color w:val="000000"/>
          <w:kern w:val="36"/>
          <w:sz w:val="36"/>
          <w:szCs w:val="36"/>
        </w:rPr>
      </w:pPr>
      <w:r w:rsidRPr="003733C0">
        <w:rPr>
          <w:rFonts w:ascii="宋体" w:hAnsi="宋体" w:cs="宋体" w:hint="eastAsia"/>
          <w:b/>
          <w:bCs/>
          <w:color w:val="000000"/>
          <w:kern w:val="36"/>
          <w:sz w:val="36"/>
          <w:szCs w:val="36"/>
        </w:rPr>
        <w:t>2022年度自然资源科学技术奖</w:t>
      </w:r>
    </w:p>
    <w:p w14:paraId="0D2CED20" w14:textId="1E7CDF51" w:rsidR="00631175" w:rsidRDefault="008F7569" w:rsidP="00720658">
      <w:pPr>
        <w:spacing w:line="740" w:lineRule="exact"/>
        <w:jc w:val="center"/>
        <w:rPr>
          <w:rFonts w:ascii="仿宋_GB2312" w:eastAsia="仿宋_GB2312" w:hAnsi="仿宋_GB2312" w:cs="仿宋_GB2312"/>
          <w:color w:val="000000"/>
          <w:sz w:val="32"/>
          <w:szCs w:val="32"/>
        </w:rPr>
      </w:pPr>
      <w:r>
        <w:rPr>
          <w:rFonts w:ascii="方正小标宋_GBK" w:eastAsia="方正小标宋_GBK" w:hAnsi="方正小标宋_GBK" w:cs="方正小标宋_GBK" w:hint="eastAsia"/>
          <w:color w:val="000000"/>
          <w:sz w:val="44"/>
          <w:szCs w:val="44"/>
        </w:rPr>
        <w:t>公示内容</w:t>
      </w:r>
    </w:p>
    <w:p w14:paraId="616AB942" w14:textId="40D234F5" w:rsidR="00631175" w:rsidRDefault="00631175">
      <w:pPr>
        <w:spacing w:line="440" w:lineRule="exact"/>
        <w:outlineLvl w:val="1"/>
        <w:rPr>
          <w:rFonts w:eastAsia="仿宋_GB2312"/>
          <w:sz w:val="28"/>
          <w:szCs w:val="24"/>
        </w:rPr>
      </w:pPr>
    </w:p>
    <w:tbl>
      <w:tblPr>
        <w:tblW w:w="9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7570"/>
      </w:tblGrid>
      <w:tr w:rsidR="00631175" w14:paraId="4AD21F49" w14:textId="77777777" w:rsidTr="00E5308C">
        <w:trPr>
          <w:trHeight w:val="777"/>
          <w:jc w:val="center"/>
        </w:trPr>
        <w:tc>
          <w:tcPr>
            <w:tcW w:w="1454" w:type="dxa"/>
            <w:vAlign w:val="center"/>
          </w:tcPr>
          <w:p w14:paraId="565212CF" w14:textId="724C98E9" w:rsidR="00631175" w:rsidRDefault="003733C0" w:rsidP="003733C0">
            <w:pPr>
              <w:jc w:val="center"/>
              <w:rPr>
                <w:rStyle w:val="title1"/>
                <w:rFonts w:eastAsia="仿宋_GB2312"/>
                <w:b w:val="0"/>
                <w:color w:val="auto"/>
                <w:sz w:val="28"/>
              </w:rPr>
            </w:pPr>
            <w:r w:rsidRPr="003733C0">
              <w:rPr>
                <w:rStyle w:val="title1"/>
                <w:rFonts w:eastAsia="仿宋_GB2312" w:hint="eastAsia"/>
                <w:b w:val="0"/>
                <w:bCs w:val="0"/>
                <w:color w:val="auto"/>
                <w:sz w:val="28"/>
              </w:rPr>
              <w:t>成果基本情况</w:t>
            </w:r>
          </w:p>
        </w:tc>
        <w:tc>
          <w:tcPr>
            <w:tcW w:w="7570" w:type="dxa"/>
            <w:vAlign w:val="center"/>
          </w:tcPr>
          <w:p w14:paraId="25340D48" w14:textId="77777777" w:rsidR="00631175" w:rsidRPr="003733C0" w:rsidRDefault="003733C0" w:rsidP="003733C0">
            <w:pPr>
              <w:rPr>
                <w:rFonts w:eastAsia="仿宋"/>
                <w:bCs/>
                <w:sz w:val="28"/>
                <w:szCs w:val="24"/>
              </w:rPr>
            </w:pPr>
            <w:r w:rsidRPr="003733C0">
              <w:rPr>
                <w:rFonts w:eastAsia="仿宋" w:hint="eastAsia"/>
                <w:b/>
                <w:bCs/>
                <w:sz w:val="28"/>
                <w:szCs w:val="24"/>
              </w:rPr>
              <w:t>成果名称：</w:t>
            </w:r>
            <w:r w:rsidRPr="003733C0">
              <w:rPr>
                <w:rFonts w:eastAsia="仿宋" w:hint="eastAsia"/>
                <w:bCs/>
                <w:sz w:val="28"/>
                <w:szCs w:val="24"/>
              </w:rPr>
              <w:t>基于微藻转化污水资源联产高值产品的关键技术集成创新与示范应用</w:t>
            </w:r>
          </w:p>
          <w:p w14:paraId="739B197F" w14:textId="5B4721F1" w:rsidR="003733C0" w:rsidRPr="003733C0" w:rsidRDefault="003733C0" w:rsidP="003733C0">
            <w:pPr>
              <w:rPr>
                <w:rFonts w:eastAsia="仿宋"/>
                <w:bCs/>
                <w:sz w:val="28"/>
                <w:szCs w:val="24"/>
              </w:rPr>
            </w:pPr>
            <w:r w:rsidRPr="003733C0">
              <w:rPr>
                <w:rFonts w:eastAsia="仿宋" w:hint="eastAsia"/>
                <w:b/>
                <w:bCs/>
                <w:sz w:val="28"/>
                <w:szCs w:val="24"/>
              </w:rPr>
              <w:t>主要完成人：</w:t>
            </w:r>
            <w:r w:rsidRPr="003733C0">
              <w:rPr>
                <w:rFonts w:eastAsia="仿宋" w:hint="eastAsia"/>
                <w:bCs/>
                <w:sz w:val="28"/>
                <w:szCs w:val="24"/>
              </w:rPr>
              <w:t>邓祥元、高坤、高志刚、何梅琳、郑行、李林声、芦骞、高楠</w:t>
            </w:r>
          </w:p>
          <w:p w14:paraId="4C802430" w14:textId="77777777" w:rsidR="003733C0" w:rsidRDefault="003733C0" w:rsidP="003733C0">
            <w:pPr>
              <w:rPr>
                <w:rFonts w:eastAsia="仿宋" w:hint="eastAsia"/>
                <w:bCs/>
                <w:sz w:val="28"/>
                <w:szCs w:val="24"/>
              </w:rPr>
            </w:pPr>
            <w:r w:rsidRPr="003733C0">
              <w:rPr>
                <w:rFonts w:eastAsia="仿宋"/>
                <w:b/>
                <w:bCs/>
                <w:sz w:val="28"/>
                <w:szCs w:val="24"/>
              </w:rPr>
              <w:t>主要完成单位：</w:t>
            </w:r>
            <w:r w:rsidRPr="003733C0">
              <w:rPr>
                <w:rFonts w:eastAsia="仿宋" w:hint="eastAsia"/>
                <w:bCs/>
                <w:sz w:val="28"/>
                <w:szCs w:val="24"/>
              </w:rPr>
              <w:t>江苏科技大学、东台市赐百年生物工程有限公司、南京农业大学、福清市新大泽螺旋藻有限公司</w:t>
            </w:r>
          </w:p>
          <w:p w14:paraId="25A87661" w14:textId="641DF304" w:rsidR="00E5308C" w:rsidRPr="00E5308C" w:rsidRDefault="00E5308C" w:rsidP="003733C0">
            <w:pPr>
              <w:rPr>
                <w:rStyle w:val="title1"/>
                <w:rFonts w:eastAsia="仿宋_GB2312"/>
                <w:b w:val="0"/>
                <w:color w:val="auto"/>
                <w:sz w:val="28"/>
              </w:rPr>
            </w:pPr>
            <w:r w:rsidRPr="00E5308C">
              <w:rPr>
                <w:rFonts w:eastAsia="仿宋" w:hint="eastAsia"/>
                <w:b/>
                <w:bCs/>
                <w:sz w:val="28"/>
                <w:szCs w:val="24"/>
              </w:rPr>
              <w:t>推荐单位：</w:t>
            </w:r>
            <w:r w:rsidRPr="00E5308C">
              <w:rPr>
                <w:rFonts w:eastAsia="仿宋" w:hint="eastAsia"/>
                <w:bCs/>
                <w:sz w:val="28"/>
                <w:szCs w:val="24"/>
              </w:rPr>
              <w:t>江苏省海洋学会</w:t>
            </w:r>
          </w:p>
        </w:tc>
      </w:tr>
      <w:tr w:rsidR="003733C0" w14:paraId="284A3FDB" w14:textId="77777777" w:rsidTr="00E5308C">
        <w:trPr>
          <w:trHeight w:val="777"/>
          <w:jc w:val="center"/>
        </w:trPr>
        <w:tc>
          <w:tcPr>
            <w:tcW w:w="1454" w:type="dxa"/>
            <w:vAlign w:val="center"/>
          </w:tcPr>
          <w:p w14:paraId="0591BD26" w14:textId="0F4F36BC" w:rsidR="003733C0" w:rsidRPr="003733C0" w:rsidRDefault="003733C0" w:rsidP="003733C0">
            <w:pPr>
              <w:jc w:val="center"/>
              <w:rPr>
                <w:rStyle w:val="title1"/>
                <w:rFonts w:eastAsia="仿宋_GB2312"/>
                <w:b w:val="0"/>
                <w:bCs w:val="0"/>
                <w:color w:val="auto"/>
                <w:sz w:val="28"/>
              </w:rPr>
            </w:pPr>
            <w:r w:rsidRPr="003733C0">
              <w:rPr>
                <w:rStyle w:val="title1"/>
                <w:rFonts w:eastAsia="仿宋_GB2312" w:hint="eastAsia"/>
                <w:b w:val="0"/>
                <w:bCs w:val="0"/>
                <w:color w:val="auto"/>
                <w:sz w:val="28"/>
              </w:rPr>
              <w:t>推荐意见</w:t>
            </w:r>
          </w:p>
        </w:tc>
        <w:tc>
          <w:tcPr>
            <w:tcW w:w="7570" w:type="dxa"/>
            <w:vAlign w:val="center"/>
          </w:tcPr>
          <w:p w14:paraId="431218B2" w14:textId="631B3FB5" w:rsidR="003733C0" w:rsidRPr="003733C0" w:rsidRDefault="003733C0" w:rsidP="003733C0">
            <w:pPr>
              <w:rPr>
                <w:rFonts w:eastAsia="仿宋"/>
                <w:b/>
                <w:bCs/>
                <w:sz w:val="28"/>
                <w:szCs w:val="24"/>
              </w:rPr>
            </w:pPr>
            <w:r w:rsidRPr="003733C0">
              <w:rPr>
                <w:rFonts w:eastAsia="仿宋" w:hint="eastAsia"/>
                <w:bCs/>
                <w:sz w:val="28"/>
                <w:szCs w:val="24"/>
              </w:rPr>
              <w:t>对照自然资源科学技术奖章程（暂行）授奖条件，特推荐该成果申报</w:t>
            </w:r>
            <w:r w:rsidR="00E5308C">
              <w:rPr>
                <w:rFonts w:eastAsia="仿宋" w:hint="eastAsia"/>
                <w:bCs/>
                <w:sz w:val="28"/>
                <w:szCs w:val="24"/>
              </w:rPr>
              <w:t>2022</w:t>
            </w:r>
            <w:r w:rsidRPr="003733C0">
              <w:rPr>
                <w:rFonts w:eastAsia="仿宋" w:hint="eastAsia"/>
                <w:bCs/>
                <w:sz w:val="28"/>
                <w:szCs w:val="24"/>
              </w:rPr>
              <w:t>年度自然资源科技进步奖，推荐等级为一等奖。</w:t>
            </w:r>
          </w:p>
        </w:tc>
      </w:tr>
      <w:tr w:rsidR="00631175" w14:paraId="6881CB9B" w14:textId="77777777" w:rsidTr="00E5308C">
        <w:trPr>
          <w:trHeight w:val="1203"/>
          <w:jc w:val="center"/>
        </w:trPr>
        <w:tc>
          <w:tcPr>
            <w:tcW w:w="1454" w:type="dxa"/>
            <w:tcBorders>
              <w:right w:val="single" w:sz="4" w:space="0" w:color="auto"/>
            </w:tcBorders>
            <w:vAlign w:val="center"/>
          </w:tcPr>
          <w:p w14:paraId="4E425790" w14:textId="05116EF9" w:rsidR="00631175" w:rsidRDefault="003733C0">
            <w:pPr>
              <w:spacing w:line="440" w:lineRule="exact"/>
              <w:jc w:val="center"/>
              <w:rPr>
                <w:rFonts w:eastAsia="仿宋_GB2312"/>
                <w:bCs/>
                <w:sz w:val="28"/>
                <w:szCs w:val="24"/>
              </w:rPr>
            </w:pPr>
            <w:r w:rsidRPr="003733C0">
              <w:rPr>
                <w:rFonts w:eastAsia="仿宋_GB2312" w:hint="eastAsia"/>
                <w:bCs/>
                <w:sz w:val="28"/>
                <w:szCs w:val="24"/>
              </w:rPr>
              <w:t>成果简介</w:t>
            </w:r>
          </w:p>
        </w:tc>
        <w:tc>
          <w:tcPr>
            <w:tcW w:w="7570" w:type="dxa"/>
            <w:tcBorders>
              <w:left w:val="single" w:sz="4" w:space="0" w:color="auto"/>
            </w:tcBorders>
            <w:vAlign w:val="center"/>
          </w:tcPr>
          <w:p w14:paraId="62260B06" w14:textId="588B76BE" w:rsidR="00631175" w:rsidRPr="00D30E73" w:rsidRDefault="003733C0" w:rsidP="00517937">
            <w:pPr>
              <w:rPr>
                <w:rFonts w:eastAsia="仿宋_GB2312"/>
                <w:bCs/>
                <w:sz w:val="24"/>
                <w:szCs w:val="24"/>
              </w:rPr>
            </w:pPr>
            <w:r w:rsidRPr="00517937">
              <w:rPr>
                <w:rFonts w:eastAsia="仿宋" w:hint="eastAsia"/>
                <w:bCs/>
                <w:sz w:val="28"/>
                <w:szCs w:val="24"/>
              </w:rPr>
              <w:t>目前，水资源短缺、水环境污染和水生态损害是制约我国高质量发展和生态文明建设的突出瓶颈与关键短板，实现污水资源化利用是加快我国高质量发展和建设美丽中国的战略需求。本项目提出了从污水资源到高值产品的微藻转化技术方案，并从特有藻种资源库的建立、高品质藻种的选育、耦合污水处理的微藻规模化培养技术体系的创建、原位处理设备的设计与研发、低成本高效率下游处理技术的集成创新和藻基高值产品的创制等关键技术节点</w:t>
            </w:r>
            <w:r w:rsidR="00FC1A62" w:rsidRPr="00517937">
              <w:rPr>
                <w:rFonts w:eastAsia="仿宋" w:hint="eastAsia"/>
                <w:bCs/>
                <w:sz w:val="28"/>
                <w:szCs w:val="24"/>
              </w:rPr>
              <w:t>进行了集成创新与示范应用</w:t>
            </w:r>
            <w:r w:rsidR="004D0F4E" w:rsidRPr="00517937">
              <w:rPr>
                <w:rFonts w:eastAsia="仿宋" w:hint="eastAsia"/>
                <w:bCs/>
                <w:sz w:val="28"/>
                <w:szCs w:val="24"/>
              </w:rPr>
              <w:t>。</w:t>
            </w:r>
            <w:r w:rsidR="00FC1A62" w:rsidRPr="00517937">
              <w:rPr>
                <w:rFonts w:eastAsia="仿宋" w:hint="eastAsia"/>
                <w:bCs/>
                <w:sz w:val="28"/>
                <w:szCs w:val="24"/>
              </w:rPr>
              <w:t>项目成果有助于改进</w:t>
            </w:r>
            <w:r w:rsidRPr="00517937">
              <w:rPr>
                <w:rFonts w:eastAsia="仿宋" w:hint="eastAsia"/>
                <w:bCs/>
                <w:sz w:val="28"/>
                <w:szCs w:val="24"/>
              </w:rPr>
              <w:t>污水</w:t>
            </w:r>
            <w:r w:rsidR="00FC1A62" w:rsidRPr="00517937">
              <w:rPr>
                <w:rFonts w:eastAsia="仿宋" w:hint="eastAsia"/>
                <w:bCs/>
                <w:sz w:val="28"/>
                <w:szCs w:val="24"/>
              </w:rPr>
              <w:t>的</w:t>
            </w:r>
            <w:r w:rsidRPr="00517937">
              <w:rPr>
                <w:rFonts w:eastAsia="仿宋" w:hint="eastAsia"/>
                <w:bCs/>
                <w:sz w:val="28"/>
                <w:szCs w:val="24"/>
              </w:rPr>
              <w:t>传统</w:t>
            </w:r>
            <w:r w:rsidR="00FC1A62" w:rsidRPr="00517937">
              <w:rPr>
                <w:rFonts w:eastAsia="仿宋" w:hint="eastAsia"/>
                <w:bCs/>
                <w:sz w:val="28"/>
                <w:szCs w:val="24"/>
              </w:rPr>
              <w:t>处理方式，降低</w:t>
            </w:r>
            <w:r w:rsidRPr="00517937">
              <w:rPr>
                <w:rFonts w:eastAsia="仿宋" w:hint="eastAsia"/>
                <w:bCs/>
                <w:sz w:val="28"/>
                <w:szCs w:val="24"/>
              </w:rPr>
              <w:t>相关企业</w:t>
            </w:r>
            <w:r w:rsidR="00FC1A62" w:rsidRPr="00517937">
              <w:rPr>
                <w:rFonts w:eastAsia="仿宋" w:hint="eastAsia"/>
                <w:bCs/>
                <w:sz w:val="28"/>
                <w:szCs w:val="24"/>
              </w:rPr>
              <w:t>的环保及生产成本，形成了良好的生态循环。</w:t>
            </w:r>
          </w:p>
        </w:tc>
      </w:tr>
      <w:tr w:rsidR="00517937" w14:paraId="3608DD52" w14:textId="77777777" w:rsidTr="00E5308C">
        <w:trPr>
          <w:trHeight w:val="841"/>
          <w:jc w:val="center"/>
        </w:trPr>
        <w:tc>
          <w:tcPr>
            <w:tcW w:w="1454" w:type="dxa"/>
            <w:tcBorders>
              <w:right w:val="single" w:sz="4" w:space="0" w:color="auto"/>
            </w:tcBorders>
            <w:vAlign w:val="center"/>
          </w:tcPr>
          <w:p w14:paraId="4D5A0DF3" w14:textId="43C8928A" w:rsidR="00517937" w:rsidRPr="003733C0" w:rsidRDefault="00517937">
            <w:pPr>
              <w:spacing w:line="440" w:lineRule="exact"/>
              <w:jc w:val="center"/>
              <w:rPr>
                <w:rFonts w:eastAsia="仿宋_GB2312"/>
                <w:bCs/>
                <w:sz w:val="28"/>
                <w:szCs w:val="24"/>
              </w:rPr>
            </w:pPr>
            <w:r w:rsidRPr="00517937">
              <w:rPr>
                <w:rFonts w:eastAsia="仿宋_GB2312" w:hint="eastAsia"/>
                <w:bCs/>
                <w:sz w:val="28"/>
                <w:szCs w:val="24"/>
              </w:rPr>
              <w:t>客观评价</w:t>
            </w:r>
          </w:p>
        </w:tc>
        <w:tc>
          <w:tcPr>
            <w:tcW w:w="7570" w:type="dxa"/>
            <w:tcBorders>
              <w:left w:val="single" w:sz="4" w:space="0" w:color="auto"/>
            </w:tcBorders>
            <w:vAlign w:val="center"/>
          </w:tcPr>
          <w:p w14:paraId="12D5FAF2" w14:textId="70CB0390" w:rsidR="00517937" w:rsidRPr="00517937" w:rsidRDefault="00517937" w:rsidP="00517937">
            <w:pPr>
              <w:rPr>
                <w:rFonts w:eastAsia="仿宋"/>
                <w:bCs/>
                <w:sz w:val="28"/>
                <w:szCs w:val="24"/>
              </w:rPr>
            </w:pPr>
            <w:r w:rsidRPr="00517937">
              <w:rPr>
                <w:rFonts w:eastAsia="仿宋" w:hint="eastAsia"/>
                <w:bCs/>
                <w:sz w:val="28"/>
                <w:szCs w:val="24"/>
              </w:rPr>
              <w:t>镇江市科技查新咨询中心通过国内外联机检索后认为：在所检国内外公开发表的文献范围内，除委托人公开发表的与课题相关的专利文献和科技论文外，未见有与</w:t>
            </w:r>
            <w:r>
              <w:rPr>
                <w:rFonts w:eastAsia="仿宋" w:hint="eastAsia"/>
                <w:bCs/>
                <w:sz w:val="28"/>
                <w:szCs w:val="24"/>
              </w:rPr>
              <w:t>本成果</w:t>
            </w:r>
            <w:r w:rsidRPr="00517937">
              <w:rPr>
                <w:rFonts w:eastAsia="仿宋" w:hint="eastAsia"/>
                <w:bCs/>
                <w:sz w:val="28"/>
                <w:szCs w:val="24"/>
              </w:rPr>
              <w:t>查新点完全相同的公开文献报道</w:t>
            </w:r>
            <w:r>
              <w:rPr>
                <w:rFonts w:eastAsia="仿宋" w:hint="eastAsia"/>
                <w:bCs/>
                <w:sz w:val="28"/>
                <w:szCs w:val="24"/>
              </w:rPr>
              <w:t>，</w:t>
            </w:r>
            <w:r w:rsidRPr="00517937">
              <w:rPr>
                <w:rFonts w:eastAsia="仿宋" w:hint="eastAsia"/>
                <w:bCs/>
                <w:sz w:val="28"/>
                <w:szCs w:val="24"/>
              </w:rPr>
              <w:t>说明本成果在种质资源、技术方案、装备研制、产品开发等方面均具有高度创新性。</w:t>
            </w:r>
          </w:p>
        </w:tc>
      </w:tr>
      <w:tr w:rsidR="00631175" w14:paraId="5AC99AC5" w14:textId="77777777" w:rsidTr="00E5308C">
        <w:trPr>
          <w:trHeight w:val="1465"/>
          <w:jc w:val="center"/>
        </w:trPr>
        <w:tc>
          <w:tcPr>
            <w:tcW w:w="1454" w:type="dxa"/>
            <w:tcBorders>
              <w:right w:val="single" w:sz="4" w:space="0" w:color="auto"/>
            </w:tcBorders>
            <w:vAlign w:val="center"/>
          </w:tcPr>
          <w:p w14:paraId="29AAB66F" w14:textId="2530D3FB" w:rsidR="00631175" w:rsidRDefault="003733C0">
            <w:pPr>
              <w:spacing w:line="440" w:lineRule="exact"/>
              <w:jc w:val="center"/>
              <w:rPr>
                <w:rFonts w:eastAsia="仿宋_GB2312"/>
                <w:bCs/>
                <w:sz w:val="28"/>
                <w:szCs w:val="24"/>
              </w:rPr>
            </w:pPr>
            <w:r w:rsidRPr="003733C0">
              <w:rPr>
                <w:rFonts w:eastAsia="仿宋_GB2312" w:hint="eastAsia"/>
                <w:bCs/>
                <w:sz w:val="28"/>
                <w:szCs w:val="24"/>
                <w:lang w:val="en"/>
              </w:rPr>
              <w:t>主要知识产权目录</w:t>
            </w:r>
          </w:p>
        </w:tc>
        <w:tc>
          <w:tcPr>
            <w:tcW w:w="7570" w:type="dxa"/>
            <w:tcBorders>
              <w:left w:val="single" w:sz="4" w:space="0" w:color="auto"/>
            </w:tcBorders>
            <w:vAlign w:val="center"/>
          </w:tcPr>
          <w:p w14:paraId="152580C4" w14:textId="6600B1DD" w:rsidR="00D40BA7" w:rsidRDefault="004D0F4E" w:rsidP="00720658">
            <w:pPr>
              <w:adjustRightInd w:val="0"/>
              <w:snapToGrid w:val="0"/>
              <w:spacing w:line="360" w:lineRule="auto"/>
              <w:ind w:firstLine="420"/>
              <w:rPr>
                <w:rFonts w:eastAsia="仿宋_GB2312"/>
                <w:bCs/>
                <w:sz w:val="24"/>
                <w:szCs w:val="24"/>
              </w:rPr>
            </w:pPr>
            <w:r w:rsidRPr="00720658">
              <w:rPr>
                <w:szCs w:val="21"/>
              </w:rPr>
              <w:t>ZL 2018 1 1416371.2</w:t>
            </w:r>
            <w:r w:rsidRPr="00720658">
              <w:rPr>
                <w:szCs w:val="21"/>
              </w:rPr>
              <w:t>、</w:t>
            </w:r>
            <w:r w:rsidRPr="00720658">
              <w:rPr>
                <w:szCs w:val="21"/>
              </w:rPr>
              <w:t>ZL 2018 1 1416938.6</w:t>
            </w:r>
            <w:r w:rsidRPr="00720658">
              <w:rPr>
                <w:szCs w:val="21"/>
              </w:rPr>
              <w:t>、</w:t>
            </w:r>
            <w:r w:rsidRPr="00720658">
              <w:rPr>
                <w:szCs w:val="21"/>
              </w:rPr>
              <w:t>ZL 2015 1 0130810.3</w:t>
            </w:r>
            <w:r w:rsidRPr="00720658">
              <w:rPr>
                <w:szCs w:val="21"/>
              </w:rPr>
              <w:t>、</w:t>
            </w:r>
            <w:r w:rsidRPr="00720658">
              <w:rPr>
                <w:szCs w:val="21"/>
              </w:rPr>
              <w:t>ZL 2015 1 0184003.X</w:t>
            </w:r>
            <w:r w:rsidRPr="00720658">
              <w:rPr>
                <w:szCs w:val="21"/>
              </w:rPr>
              <w:t>、</w:t>
            </w:r>
            <w:r w:rsidRPr="00720658">
              <w:rPr>
                <w:szCs w:val="21"/>
              </w:rPr>
              <w:t>ZL 2015 1 0187502.4</w:t>
            </w:r>
            <w:r w:rsidRPr="00720658">
              <w:rPr>
                <w:szCs w:val="21"/>
              </w:rPr>
              <w:t>、</w:t>
            </w:r>
            <w:r w:rsidRPr="00720658">
              <w:rPr>
                <w:szCs w:val="21"/>
              </w:rPr>
              <w:t>ZL 2017 1 0722891.5</w:t>
            </w:r>
          </w:p>
        </w:tc>
      </w:tr>
    </w:tbl>
    <w:p w14:paraId="52DE4A39" w14:textId="77777777" w:rsidR="00631175" w:rsidRPr="00690882" w:rsidRDefault="00631175">
      <w:pPr>
        <w:spacing w:line="440" w:lineRule="exact"/>
        <w:outlineLvl w:val="1"/>
        <w:rPr>
          <w:rFonts w:ascii="仿宋_GB2312" w:eastAsia="仿宋_GB2312" w:hAnsi="仿宋_GB2312" w:cs="仿宋_GB2312"/>
          <w:b/>
          <w:bCs/>
          <w:sz w:val="32"/>
          <w:szCs w:val="32"/>
        </w:rPr>
      </w:pPr>
      <w:bookmarkStart w:id="1" w:name="_GoBack"/>
      <w:bookmarkEnd w:id="1"/>
    </w:p>
    <w:sectPr w:rsidR="00631175" w:rsidRPr="00690882">
      <w:headerReference w:type="default" r:id="rId8"/>
      <w:footerReference w:type="default" r:id="rId9"/>
      <w:pgSz w:w="12240" w:h="15840"/>
      <w:pgMar w:top="1440" w:right="1417" w:bottom="1440" w:left="158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86CED" w14:textId="77777777" w:rsidR="00F451B0" w:rsidRDefault="00F451B0">
      <w:r>
        <w:separator/>
      </w:r>
    </w:p>
  </w:endnote>
  <w:endnote w:type="continuationSeparator" w:id="0">
    <w:p w14:paraId="397FA022" w14:textId="77777777" w:rsidR="00F451B0" w:rsidRDefault="00F4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200247B" w:usb2="00000009" w:usb3="00000000" w:csb0="000001FF" w:csb1="00000000"/>
  </w:font>
  <w:font w:name="方正小标宋_GBK">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371A1" w14:textId="77777777" w:rsidR="00631175" w:rsidRDefault="00F451B0">
    <w:pPr>
      <w:pStyle w:val="a3"/>
    </w:pPr>
    <w:r>
      <w:pict w14:anchorId="58BEF13F">
        <v:shapetype id="_x0000_t202" coordsize="21600,21600" o:spt="202" path="m,l,21600r21600,l21600,xe">
          <v:stroke joinstyle="miter"/>
          <v:path gradientshapeok="t" o:connecttype="rect"/>
        </v:shapetype>
        <v:shape id="_x0000_s2049" type="#_x0000_t202" alt="" style="position:absolute;margin-left:385.95pt;margin-top:-7.3pt;width:76.7pt;height:18.5pt;z-index:1;mso-wrap-style:square;mso-wrap-edited:f;mso-width-percent:0;mso-height-percent:0;mso-position-horizontal-relative:margin;mso-width-percent:0;mso-height-percent:0;mso-width-relative:page;mso-height-relative:page;v-text-anchor:top" filled="f" stroked="f">
          <v:textbox inset="0,0,0,0">
            <w:txbxContent>
              <w:p w14:paraId="3039ED9B" w14:textId="77777777" w:rsidR="00631175" w:rsidRDefault="008F7569">
                <w:pPr>
                  <w:snapToGrid w:val="0"/>
                  <w:ind w:rightChars="19" w:right="40"/>
                  <w:rPr>
                    <w:rFonts w:ascii="宋体" w:hAnsi="宋体" w:cs="宋体"/>
                    <w:sz w:val="28"/>
                    <w:szCs w:val="28"/>
                  </w:rPr>
                </w:pPr>
                <w:r>
                  <w:rPr>
                    <w:rFonts w:ascii="宋体" w:hAnsi="宋体" w:cs="宋体" w:hint="eastAsia"/>
                    <w:sz w:val="28"/>
                    <w:szCs w:val="28"/>
                  </w:rPr>
                  <w:t xml:space="preserve">  —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5308C">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p w14:paraId="395D267B" w14:textId="77777777" w:rsidR="00631175" w:rsidRDefault="00631175">
                <w:pPr>
                  <w:snapToGrid w:val="0"/>
                  <w:rPr>
                    <w:sz w:val="18"/>
                  </w:rP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17D88" w14:textId="77777777" w:rsidR="00F451B0" w:rsidRDefault="00F451B0">
      <w:r>
        <w:separator/>
      </w:r>
    </w:p>
  </w:footnote>
  <w:footnote w:type="continuationSeparator" w:id="0">
    <w:p w14:paraId="6F022867" w14:textId="77777777" w:rsidR="00F451B0" w:rsidRDefault="00F4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E82CE" w14:textId="77777777" w:rsidR="00631175" w:rsidRDefault="00631175">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0"/>
  <w:drawingGridHorizontalSpacing w:val="1"/>
  <w:drawingGridVerticalSpacing w:val="156"/>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suppressSpBfAfterPgBrk/>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D8FF364E"/>
    <w:rsid w:val="F32E5334"/>
    <w:rsid w:val="FFFF4A6C"/>
    <w:rsid w:val="000E501E"/>
    <w:rsid w:val="00172A27"/>
    <w:rsid w:val="001945D3"/>
    <w:rsid w:val="001A64DA"/>
    <w:rsid w:val="0025136E"/>
    <w:rsid w:val="003143D8"/>
    <w:rsid w:val="003733C0"/>
    <w:rsid w:val="003B73FD"/>
    <w:rsid w:val="00415BCE"/>
    <w:rsid w:val="004D0F4E"/>
    <w:rsid w:val="00517937"/>
    <w:rsid w:val="005C5FA1"/>
    <w:rsid w:val="0061741A"/>
    <w:rsid w:val="00631175"/>
    <w:rsid w:val="00690882"/>
    <w:rsid w:val="00720658"/>
    <w:rsid w:val="00815AD0"/>
    <w:rsid w:val="008F7569"/>
    <w:rsid w:val="00913F1F"/>
    <w:rsid w:val="00915487"/>
    <w:rsid w:val="009414EC"/>
    <w:rsid w:val="00944AEA"/>
    <w:rsid w:val="00A73036"/>
    <w:rsid w:val="00A8621F"/>
    <w:rsid w:val="00B00D6C"/>
    <w:rsid w:val="00BA66CB"/>
    <w:rsid w:val="00D02D97"/>
    <w:rsid w:val="00D25809"/>
    <w:rsid w:val="00D30E73"/>
    <w:rsid w:val="00D40BA7"/>
    <w:rsid w:val="00DB3521"/>
    <w:rsid w:val="00DC188E"/>
    <w:rsid w:val="00DE39F4"/>
    <w:rsid w:val="00E447DA"/>
    <w:rsid w:val="00E5308C"/>
    <w:rsid w:val="00EE3AAC"/>
    <w:rsid w:val="00EF6EB6"/>
    <w:rsid w:val="00F2311E"/>
    <w:rsid w:val="00F451B0"/>
    <w:rsid w:val="00F86F33"/>
    <w:rsid w:val="00FC1A62"/>
    <w:rsid w:val="2ADE9371"/>
    <w:rsid w:val="3ECB47D7"/>
    <w:rsid w:val="6FF74C7A"/>
    <w:rsid w:val="7ADC37DD"/>
    <w:rsid w:val="7BFF7F87"/>
    <w:rsid w:val="7EEF20F4"/>
    <w:rsid w:val="7F5F3CBC"/>
    <w:rsid w:val="7FE9B98C"/>
    <w:rsid w:val="7FEB6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65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character" w:customStyle="1" w:styleId="title1">
    <w:name w:val="title1"/>
    <w:qFormat/>
    <w:rPr>
      <w:b/>
      <w:bCs/>
      <w:color w:val="999900"/>
      <w:sz w:val="24"/>
      <w:szCs w:val="24"/>
    </w:rPr>
  </w:style>
  <w:style w:type="paragraph" w:styleId="a5">
    <w:name w:val="Plain Text"/>
    <w:basedOn w:val="a"/>
    <w:link w:val="Char"/>
    <w:rsid w:val="00D30E73"/>
    <w:pPr>
      <w:spacing w:line="360" w:lineRule="auto"/>
      <w:ind w:firstLineChars="200" w:firstLine="480"/>
    </w:pPr>
    <w:rPr>
      <w:rFonts w:ascii="仿宋_GB2312"/>
      <w:sz w:val="24"/>
    </w:rPr>
  </w:style>
  <w:style w:type="character" w:customStyle="1" w:styleId="Char">
    <w:name w:val="纯文本 Char"/>
    <w:link w:val="a5"/>
    <w:rsid w:val="00D30E73"/>
    <w:rPr>
      <w:rFonts w:ascii="仿宋_GB2312"/>
      <w:kern w:val="2"/>
      <w:sz w:val="24"/>
    </w:rPr>
  </w:style>
  <w:style w:type="paragraph" w:styleId="a6">
    <w:name w:val="Balloon Text"/>
    <w:basedOn w:val="a"/>
    <w:link w:val="Char0"/>
    <w:uiPriority w:val="99"/>
    <w:semiHidden/>
    <w:unhideWhenUsed/>
    <w:rsid w:val="00D30E73"/>
    <w:rPr>
      <w:sz w:val="18"/>
      <w:szCs w:val="18"/>
    </w:rPr>
  </w:style>
  <w:style w:type="character" w:customStyle="1" w:styleId="Char0">
    <w:name w:val="批注框文本 Char"/>
    <w:link w:val="a6"/>
    <w:uiPriority w:val="99"/>
    <w:semiHidden/>
    <w:rsid w:val="00D30E73"/>
    <w:rPr>
      <w:kern w:val="2"/>
      <w:sz w:val="18"/>
      <w:szCs w:val="18"/>
    </w:rPr>
  </w:style>
  <w:style w:type="paragraph" w:styleId="a7">
    <w:name w:val="Revision"/>
    <w:hidden/>
    <w:uiPriority w:val="99"/>
    <w:semiHidden/>
    <w:rsid w:val="0069088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附件1</dc:title>
  <dc:creator>唐欢</dc:creator>
  <cp:lastModifiedBy>User</cp:lastModifiedBy>
  <cp:revision>22</cp:revision>
  <dcterms:created xsi:type="dcterms:W3CDTF">2020-06-18T15:39:00Z</dcterms:created>
  <dcterms:modified xsi:type="dcterms:W3CDTF">2023-02-14T06:09:00Z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