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6C" w:rsidRDefault="00D0556C" w:rsidP="00D0556C">
      <w:pPr>
        <w:overflowPunct/>
        <w:autoSpaceDE/>
        <w:autoSpaceDN/>
        <w:spacing w:line="580" w:lineRule="exact"/>
        <w:textAlignment w:val="auto"/>
        <w:rPr>
          <w:rFonts w:ascii="仿宋_GB2312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0556C" w:rsidRDefault="00D0556C" w:rsidP="00D0556C">
      <w:pPr>
        <w:overflowPunct/>
        <w:autoSpaceDE/>
        <w:autoSpaceDN/>
        <w:spacing w:line="580" w:lineRule="exact"/>
        <w:jc w:val="center"/>
        <w:textAlignment w:val="auto"/>
        <w:rPr>
          <w:rFonts w:ascii="微软雅黑" w:eastAsia="微软雅黑" w:hAnsi="微软雅黑" w:cs="宋体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高层次专家研讨会活动实施办法</w:t>
      </w:r>
    </w:p>
    <w:p w:rsidR="00D0556C" w:rsidRDefault="00D0556C" w:rsidP="00D0556C">
      <w:pPr>
        <w:overflowPunct/>
        <w:autoSpaceDE/>
        <w:autoSpaceDN/>
        <w:spacing w:line="580" w:lineRule="exact"/>
        <w:jc w:val="center"/>
        <w:textAlignment w:val="auto"/>
        <w:rPr>
          <w:rFonts w:ascii="仿宋_GB2312" w:eastAsia="仿宋_GB2312" w:hAnsi="微软雅黑" w:cs="宋体"/>
          <w:sz w:val="32"/>
          <w:szCs w:val="32"/>
        </w:rPr>
      </w:pPr>
    </w:p>
    <w:p w:rsidR="00D0556C" w:rsidRDefault="00D0556C" w:rsidP="00D0556C">
      <w:pPr>
        <w:overflowPunct/>
        <w:autoSpaceDE/>
        <w:autoSpaceDN/>
        <w:spacing w:beforeLines="100" w:before="312" w:afterLines="50" w:after="156" w:line="580" w:lineRule="exact"/>
        <w:jc w:val="center"/>
        <w:textAlignment w:val="auto"/>
        <w:rPr>
          <w:rFonts w:ascii="微软雅黑" w:eastAsia="微软雅黑" w:hAnsi="微软雅黑" w:cs="宋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第一章  总则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/>
          <w:color w:val="00000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第一条 为提升高层次专家研讨会活动（以下简称“研讨活动”）实施效果，规范活动组织工作，特制定本办法。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黑体" w:cs="宋体" w:hint="eastAsia"/>
          <w:color w:val="00000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第二条 研讨活动坚持以习近平新时代中国特色社会主义思想为指导，贯彻落实党的十九大和十九届历次全会精神，聚焦“四个面向”，</w:t>
      </w:r>
      <w:r>
        <w:rPr>
          <w:rFonts w:ascii="仿宋_GB2312" w:eastAsia="仿宋_GB2312" w:hAnsi="黑体" w:cs="宋体" w:hint="eastAsia"/>
          <w:color w:val="000000"/>
          <w:sz w:val="32"/>
          <w:szCs w:val="32"/>
        </w:rPr>
        <w:t>邀请高层次科学家、一线科技工作者、产业专家等，</w:t>
      </w:r>
      <w:r>
        <w:rPr>
          <w:rFonts w:ascii="仿宋_GB2312" w:eastAsia="仿宋_GB2312" w:hAnsi="微软雅黑" w:cs="宋体" w:hint="eastAsia"/>
          <w:sz w:val="32"/>
          <w:szCs w:val="32"/>
        </w:rPr>
        <w:t>围绕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重大科学技术创新发展问题</w:t>
      </w:r>
      <w:r>
        <w:rPr>
          <w:rFonts w:ascii="仿宋_GB2312" w:eastAsia="仿宋_GB2312" w:hAnsi="微软雅黑" w:cs="宋体" w:hint="eastAsia"/>
          <w:sz w:val="32"/>
          <w:szCs w:val="32"/>
        </w:rPr>
        <w:t>进行战略性研讨，开展前瞻性</w:t>
      </w:r>
      <w:proofErr w:type="gramStart"/>
      <w:r>
        <w:rPr>
          <w:rFonts w:ascii="仿宋_GB2312" w:eastAsia="仿宋_GB2312" w:hAnsi="微软雅黑" w:cs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微软雅黑" w:cs="宋体" w:hint="eastAsia"/>
          <w:sz w:val="32"/>
          <w:szCs w:val="32"/>
        </w:rPr>
        <w:t>判，提出对策建议，</w:t>
      </w:r>
      <w:r>
        <w:rPr>
          <w:rFonts w:ascii="仿宋_GB2312" w:eastAsia="仿宋_GB2312" w:hAnsi="黑体" w:cs="宋体" w:hint="eastAsia"/>
          <w:color w:val="000000"/>
          <w:sz w:val="32"/>
          <w:szCs w:val="32"/>
        </w:rPr>
        <w:t>服务党和政府科学决策，推进科技自立自强。</w:t>
      </w:r>
    </w:p>
    <w:p w:rsidR="00D0556C" w:rsidRDefault="00D0556C" w:rsidP="00D0556C">
      <w:pPr>
        <w:overflowPunct/>
        <w:autoSpaceDE/>
        <w:autoSpaceDN/>
        <w:spacing w:beforeLines="100" w:before="312" w:afterLines="50" w:after="156" w:line="580" w:lineRule="exact"/>
        <w:jc w:val="center"/>
        <w:textAlignment w:val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第二章  组织形式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 w:hint="eastAsia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第三条 研讨活动由中国科协主办，</w:t>
      </w:r>
      <w:r>
        <w:rPr>
          <w:rFonts w:ascii="仿宋_GB2312" w:eastAsia="仿宋_GB2312" w:hAnsi="仿宋" w:cs="仿宋_GB2312" w:hint="eastAsia"/>
          <w:sz w:val="32"/>
          <w:szCs w:val="32"/>
        </w:rPr>
        <w:t>通过项目申报方式择优遴选</w:t>
      </w:r>
      <w:r>
        <w:rPr>
          <w:rFonts w:ascii="仿宋_GB2312" w:eastAsia="仿宋_GB2312" w:hAnsi="微软雅黑" w:cs="宋体" w:hint="eastAsia"/>
          <w:sz w:val="32"/>
          <w:szCs w:val="32"/>
        </w:rPr>
        <w:t>全国学会、高等院校、科研机构、企业单位等具体承办，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主办单位给予经费支持，</w:t>
      </w:r>
      <w:r>
        <w:rPr>
          <w:rFonts w:ascii="仿宋_GB2312" w:eastAsia="仿宋_GB2312" w:hAnsi="微软雅黑" w:cs="宋体" w:hint="eastAsia"/>
          <w:sz w:val="32"/>
          <w:szCs w:val="32"/>
        </w:rPr>
        <w:t>承办机构应具备专家资源、会议举办和科技咨询服务能力，不得转包项目。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 w:hint="eastAsia"/>
          <w:color w:val="00000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第四条 研讨活动应设置研讨主题。主题可由主办单位结合国家重大战略部署确定，也可由承办机构按照研讨活动申报通知要求，结合自身工作基础与专业优势确定。</w:t>
      </w:r>
      <w:r>
        <w:rPr>
          <w:rFonts w:ascii="仿宋_GB2312" w:eastAsia="仿宋_GB2312" w:hAnsi="微软雅黑" w:cs="宋体" w:hint="eastAsia"/>
          <w:sz w:val="32"/>
          <w:szCs w:val="32"/>
        </w:rPr>
        <w:t>主题设置坚持目标导向、问题导向、需求导向、成果导向，根据主</w:t>
      </w:r>
      <w:r>
        <w:rPr>
          <w:rFonts w:ascii="仿宋_GB2312" w:eastAsia="仿宋_GB2312" w:hAnsi="微软雅黑" w:cs="宋体" w:hint="eastAsia"/>
          <w:sz w:val="32"/>
          <w:szCs w:val="32"/>
        </w:rPr>
        <w:lastRenderedPageBreak/>
        <w:t>题可设置若干重点议题，议题应具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有可探讨性、</w:t>
      </w:r>
      <w:r>
        <w:rPr>
          <w:rFonts w:ascii="仿宋_GB2312" w:eastAsia="仿宋_GB2312" w:hAnsi="微软雅黑" w:cs="宋体" w:hint="eastAsia"/>
          <w:sz w:val="32"/>
          <w:szCs w:val="32"/>
        </w:rPr>
        <w:t>时效性和实用性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，能够形成高质量政策建议。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第五条 </w:t>
      </w:r>
      <w:r>
        <w:rPr>
          <w:rFonts w:ascii="仿宋_GB2312" w:eastAsia="仿宋_GB2312" w:hAnsi="微软雅黑" w:cs="宋体" w:hint="eastAsia"/>
          <w:sz w:val="32"/>
          <w:szCs w:val="32"/>
        </w:rPr>
        <w:t>研讨活动会期一般不超过1天，以闭门方式进行，可采用线上线下相结合的形式，线上研讨要采取有效措施保证效果。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 w:hint="eastAsia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六</w:t>
      </w:r>
      <w:r>
        <w:rPr>
          <w:rFonts w:ascii="仿宋_GB2312" w:eastAsia="仿宋_GB2312" w:hAnsi="微软雅黑" w:cs="宋体" w:hint="eastAsia"/>
          <w:sz w:val="32"/>
          <w:szCs w:val="32"/>
        </w:rPr>
        <w:t>条 研讨活动一般控制在20人以内，参会专家应在相关领域具有权威性和代表性，重点邀请战略科学家和科技领军人才，鼓励邀请国际同行。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 w:hint="eastAsia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第七条 研讨活动</w:t>
      </w:r>
      <w:r>
        <w:rPr>
          <w:rFonts w:ascii="仿宋_GB2312" w:eastAsia="仿宋_GB2312" w:hAnsi="微软雅黑" w:cs="宋体" w:hint="eastAsia"/>
          <w:sz w:val="32"/>
          <w:szCs w:val="32"/>
        </w:rPr>
        <w:t>围绕主题、议题设置主旨报告、自由发言等环节，不设主席台，鼓励营造轻松自由、质疑争鸣的学术交流氛围。</w:t>
      </w:r>
    </w:p>
    <w:p w:rsidR="00D0556C" w:rsidRDefault="00D0556C" w:rsidP="00D0556C">
      <w:pPr>
        <w:overflowPunct/>
        <w:autoSpaceDE/>
        <w:autoSpaceDN/>
        <w:spacing w:beforeLines="100" w:before="312" w:afterLines="50" w:after="156" w:line="580" w:lineRule="exact"/>
        <w:jc w:val="center"/>
        <w:textAlignment w:val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第三章  组织保障和分工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sz w:val="32"/>
          <w:szCs w:val="32"/>
        </w:rPr>
        <w:t>八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 xml:space="preserve">条 </w:t>
      </w:r>
      <w:r>
        <w:rPr>
          <w:rFonts w:ascii="仿宋_GB2312" w:eastAsia="仿宋_GB2312" w:hint="eastAsia"/>
          <w:color w:val="000000"/>
          <w:sz w:val="32"/>
          <w:szCs w:val="32"/>
        </w:rPr>
        <w:t>承办机构应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开展前期调研，</w:t>
      </w:r>
      <w:r>
        <w:rPr>
          <w:rFonts w:ascii="仿宋_GB2312" w:eastAsia="仿宋_GB2312" w:hint="eastAsia"/>
          <w:color w:val="000000"/>
          <w:sz w:val="32"/>
          <w:szCs w:val="32"/>
        </w:rPr>
        <w:t>制定详细的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会议活动实施方案，</w:t>
      </w:r>
      <w:r>
        <w:rPr>
          <w:rFonts w:ascii="仿宋_GB2312" w:eastAsia="仿宋_GB2312" w:hint="eastAsia"/>
          <w:sz w:val="32"/>
          <w:szCs w:val="32"/>
        </w:rPr>
        <w:t>实施前15天提交中国科协科学技术</w:t>
      </w:r>
      <w:proofErr w:type="gramStart"/>
      <w:r>
        <w:rPr>
          <w:rFonts w:ascii="仿宋_GB2312" w:eastAsia="仿宋_GB2312" w:hint="eastAsia"/>
          <w:sz w:val="32"/>
          <w:szCs w:val="32"/>
        </w:rPr>
        <w:t>创新部</w:t>
      </w:r>
      <w:proofErr w:type="gramEnd"/>
      <w:r>
        <w:rPr>
          <w:rFonts w:ascii="仿宋_GB2312" w:eastAsia="仿宋_GB2312" w:hint="eastAsia"/>
          <w:sz w:val="32"/>
          <w:szCs w:val="32"/>
        </w:rPr>
        <w:t>审核，经批准后组织实施。承办机构应按照主办单位要求做好筹备和组织工作，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起草相关会议活动文件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spacing w:val="2"/>
          <w:sz w:val="32"/>
          <w:szCs w:val="32"/>
        </w:rPr>
        <w:t>承办机构</w:t>
      </w:r>
      <w:r>
        <w:rPr>
          <w:rFonts w:ascii="仿宋_GB2312" w:eastAsia="仿宋_GB2312" w:hAnsi="����" w:cs="宋体" w:hint="eastAsia"/>
          <w:color w:val="000000"/>
          <w:spacing w:val="2"/>
          <w:sz w:val="32"/>
          <w:szCs w:val="14"/>
        </w:rPr>
        <w:t>应</w:t>
      </w:r>
      <w:r>
        <w:rPr>
          <w:rFonts w:ascii="仿宋_GB2312" w:eastAsia="仿宋_GB2312" w:hAnsi="����" w:cs="宋体" w:hint="eastAsia"/>
          <w:color w:val="000000"/>
          <w:sz w:val="32"/>
          <w:szCs w:val="14"/>
        </w:rPr>
        <w:t>严格按照合同和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《中央和国家机关会议费管理办法》</w:t>
      </w:r>
      <w:r>
        <w:rPr>
          <w:rFonts w:ascii="仿宋_GB2312" w:eastAsia="仿宋_GB2312" w:hAnsi="仿宋" w:cs="仿宋_GB2312" w:hint="eastAsia"/>
          <w:sz w:val="32"/>
          <w:szCs w:val="32"/>
        </w:rPr>
        <w:t>《中央和国家机关外宾接待经费管理办法》等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规定的相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关标准进行经费支出，不得超</w:t>
      </w:r>
      <w:r>
        <w:rPr>
          <w:rFonts w:ascii="仿宋_GB2312" w:eastAsia="仿宋_GB2312" w:hAnsi="仿宋_GB2312" w:cs="仿宋_GB2312" w:hint="eastAsia"/>
          <w:sz w:val="32"/>
        </w:rPr>
        <w:t>范围、超标准支出。在保证会议活动效果的前提下节俭高效办会。会议活动不得收取任何费用。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lastRenderedPageBreak/>
        <w:t xml:space="preserve">第十条 </w:t>
      </w:r>
      <w:r>
        <w:rPr>
          <w:rFonts w:ascii="仿宋_GB2312" w:eastAsia="仿宋_GB2312" w:hAnsi="微软雅黑" w:cs="宋体" w:hint="eastAsia"/>
          <w:sz w:val="32"/>
          <w:szCs w:val="32"/>
        </w:rPr>
        <w:t>承办机构应制定突发事件应急预案，对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与会专家邀请进行</w:t>
      </w:r>
      <w:r>
        <w:rPr>
          <w:rFonts w:ascii="仿宋_GB2312" w:eastAsia="仿宋_GB2312" w:hAnsi="微软雅黑" w:cs="宋体" w:hint="eastAsia"/>
          <w:sz w:val="32"/>
          <w:szCs w:val="32"/>
        </w:rPr>
        <w:t>严格把关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，加强审核和舆情管控，防范发表不当言论、发生学术不端行为等风险。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/>
          <w:color w:val="00000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第十一条 承办机构可视情对活动进行宣传推广，包括对活动内容和成果的宣传，提升活动效果和影响力。</w:t>
      </w:r>
    </w:p>
    <w:p w:rsidR="00D0556C" w:rsidRDefault="00D0556C" w:rsidP="00D0556C">
      <w:pPr>
        <w:overflowPunct/>
        <w:autoSpaceDE/>
        <w:autoSpaceDN/>
        <w:spacing w:beforeLines="100" w:before="312" w:afterLines="50" w:after="156" w:line="580" w:lineRule="exact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第四章  成果凝练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 w:hint="eastAsia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第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十二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条</w:t>
      </w:r>
      <w:r>
        <w:rPr>
          <w:rFonts w:ascii="仿宋_GB2312" w:eastAsia="仿宋_GB2312" w:hAnsi="微软雅黑" w:cs="宋体" w:hint="eastAsia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研讨活动成果主要包括学术成果、智库成果以及其他成果。学术成果主要包括会议活动方案、研讨纪要、学术报告、专家观点汇编等。智库成果主要包括政策建议报告等。其他成果主要包括报告</w:t>
      </w:r>
      <w:r>
        <w:rPr>
          <w:rFonts w:ascii="仿宋_GB2312" w:eastAsia="仿宋_GB2312" w:hAnsi="微软雅黑" w:cs="宋体" w:hint="eastAsia"/>
          <w:sz w:val="32"/>
          <w:szCs w:val="32"/>
        </w:rPr>
        <w:t>发言演示资料、相关专家名单、会议活动现场图文等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。</w:t>
      </w:r>
    </w:p>
    <w:p w:rsidR="00D0556C" w:rsidRDefault="00D0556C" w:rsidP="00D0556C">
      <w:pPr>
        <w:overflowPunct/>
        <w:autoSpaceDE/>
        <w:autoSpaceDN/>
        <w:spacing w:line="580" w:lineRule="exact"/>
        <w:ind w:firstLineChars="200" w:firstLine="640"/>
        <w:textAlignment w:val="auto"/>
        <w:rPr>
          <w:rFonts w:ascii="仿宋_GB2312" w:eastAsia="仿宋_GB2312" w:hAnsi="微软雅黑" w:cs="宋体" w:hint="eastAsia"/>
          <w:color w:val="00000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第十三条 承办机构应在研讨活动结束15天内向中国科协科学技术</w:t>
      </w:r>
      <w:proofErr w:type="gramStart"/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创新部</w:t>
      </w:r>
      <w:proofErr w:type="gramEnd"/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提交高质量成果。其中政策建议报告撰写应符合相关的体例要求和写作规范，建议内容应体现前瞻性、紧迫性、针对性、建设性。</w:t>
      </w:r>
    </w:p>
    <w:p w:rsidR="00D0556C" w:rsidRDefault="00D0556C" w:rsidP="00D0556C">
      <w:pPr>
        <w:overflowPunct/>
        <w:autoSpaceDE/>
        <w:autoSpaceDN/>
        <w:spacing w:beforeLines="100" w:before="312" w:afterLines="50" w:after="156" w:line="580" w:lineRule="exact"/>
        <w:jc w:val="center"/>
        <w:textAlignment w:val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第五章  附  则</w:t>
      </w:r>
    </w:p>
    <w:p w:rsidR="00D0556C" w:rsidRDefault="00D0556C" w:rsidP="00D0556C">
      <w:pPr>
        <w:pStyle w:val="a3"/>
        <w:widowControl w:val="0"/>
        <w:tabs>
          <w:tab w:val="left" w:pos="1418"/>
          <w:tab w:val="left" w:pos="1843"/>
        </w:tabs>
        <w:adjustRightIn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第十四条 </w:t>
      </w:r>
      <w:r>
        <w:rPr>
          <w:rFonts w:ascii="仿宋_GB2312" w:eastAsia="仿宋_GB2312" w:hint="eastAsia"/>
          <w:sz w:val="32"/>
          <w:szCs w:val="32"/>
        </w:rPr>
        <w:t>本办法由中国科协科学技术</w:t>
      </w:r>
      <w:proofErr w:type="gramStart"/>
      <w:r>
        <w:rPr>
          <w:rFonts w:ascii="仿宋_GB2312" w:eastAsia="仿宋_GB2312" w:hint="eastAsia"/>
          <w:sz w:val="32"/>
          <w:szCs w:val="32"/>
        </w:rPr>
        <w:t>创新部</w:t>
      </w:r>
      <w:proofErr w:type="gramEnd"/>
      <w:r>
        <w:rPr>
          <w:rFonts w:ascii="仿宋_GB2312" w:eastAsia="仿宋_GB2312" w:hint="eastAsia"/>
          <w:sz w:val="32"/>
          <w:szCs w:val="32"/>
        </w:rPr>
        <w:t>负责解释。</w:t>
      </w:r>
    </w:p>
    <w:p w:rsidR="00D0556C" w:rsidRDefault="00D0556C" w:rsidP="00D0556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本办法自印发之日起施行。</w:t>
      </w:r>
    </w:p>
    <w:p w:rsidR="00E42679" w:rsidRPr="00D0556C" w:rsidRDefault="00E42679">
      <w:bookmarkStart w:id="0" w:name="_GoBack"/>
      <w:bookmarkEnd w:id="0"/>
    </w:p>
    <w:sectPr w:rsidR="00E42679" w:rsidRPr="00D0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宋体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6C"/>
    <w:rsid w:val="00D0556C"/>
    <w:rsid w:val="00E4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D0556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556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556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0556C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D0556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556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556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0556C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2022-04-02T07:47:00Z</dcterms:created>
  <dcterms:modified xsi:type="dcterms:W3CDTF">2022-04-02T07:49:00Z</dcterms:modified>
</cp:coreProperties>
</file>